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C1" w:rsidRPr="00C778B1" w:rsidRDefault="00B1194D" w:rsidP="00324642">
      <w:pPr>
        <w:shd w:val="clear" w:color="auto" w:fill="FFFFFF"/>
        <w:tabs>
          <w:tab w:val="left" w:pos="142"/>
        </w:tabs>
        <w:ind w:right="-1"/>
        <w:rPr>
          <w:b/>
          <w:bCs/>
          <w:color w:val="808080" w:themeColor="background1" w:themeShade="80"/>
          <w:sz w:val="40"/>
          <w:szCs w:val="48"/>
        </w:rPr>
      </w:pPr>
      <w:r w:rsidRPr="00C778B1">
        <w:rPr>
          <w:b/>
          <w:bCs/>
          <w:color w:val="808080" w:themeColor="background1" w:themeShade="80"/>
          <w:sz w:val="40"/>
          <w:szCs w:val="48"/>
        </w:rPr>
        <w:t>Р</w:t>
      </w:r>
      <w:r w:rsidR="001E7B5B" w:rsidRPr="00C778B1">
        <w:rPr>
          <w:b/>
          <w:bCs/>
          <w:color w:val="808080" w:themeColor="background1" w:themeShade="80"/>
          <w:sz w:val="40"/>
          <w:szCs w:val="48"/>
        </w:rPr>
        <w:t>ЕНОВИР</w:t>
      </w:r>
      <w:r w:rsidRPr="00C778B1">
        <w:rPr>
          <w:b/>
          <w:bCs/>
          <w:color w:val="808080" w:themeColor="background1" w:themeShade="80"/>
          <w:sz w:val="40"/>
          <w:szCs w:val="48"/>
        </w:rPr>
        <w:t xml:space="preserve"> </w:t>
      </w:r>
      <w:r w:rsidR="00454947" w:rsidRPr="00C778B1">
        <w:rPr>
          <w:b/>
          <w:bCs/>
          <w:color w:val="808080" w:themeColor="background1" w:themeShade="80"/>
          <w:sz w:val="40"/>
          <w:szCs w:val="48"/>
        </w:rPr>
        <w:t>АР</w:t>
      </w:r>
    </w:p>
    <w:p w:rsidR="003A2E04" w:rsidRDefault="00454947" w:rsidP="00324642">
      <w:pPr>
        <w:shd w:val="clear" w:color="auto" w:fill="FFFFFF"/>
        <w:tabs>
          <w:tab w:val="left" w:pos="142"/>
        </w:tabs>
        <w:ind w:right="-1"/>
        <w:rPr>
          <w:b/>
          <w:bCs/>
          <w:color w:val="939598"/>
          <w:spacing w:val="-3"/>
          <w:sz w:val="24"/>
          <w:szCs w:val="28"/>
        </w:rPr>
      </w:pPr>
      <w:r>
        <w:rPr>
          <w:b/>
          <w:bCs/>
          <w:color w:val="939598"/>
          <w:spacing w:val="-3"/>
          <w:sz w:val="24"/>
          <w:szCs w:val="28"/>
        </w:rPr>
        <w:t>Полимерсиликатное</w:t>
      </w:r>
      <w:r w:rsidR="003A2E04">
        <w:rPr>
          <w:b/>
          <w:bCs/>
          <w:color w:val="939598"/>
          <w:spacing w:val="-3"/>
          <w:sz w:val="24"/>
          <w:szCs w:val="28"/>
        </w:rPr>
        <w:t xml:space="preserve"> </w:t>
      </w:r>
      <w:r>
        <w:rPr>
          <w:b/>
          <w:bCs/>
          <w:color w:val="939598"/>
          <w:spacing w:val="-3"/>
          <w:sz w:val="24"/>
          <w:szCs w:val="28"/>
        </w:rPr>
        <w:t>покрытие для защиты бетонов</w:t>
      </w:r>
    </w:p>
    <w:p w:rsidR="0070598B" w:rsidRPr="00D339D8" w:rsidRDefault="003A2E04" w:rsidP="00324642">
      <w:pPr>
        <w:shd w:val="clear" w:color="auto" w:fill="FFFFFF"/>
        <w:tabs>
          <w:tab w:val="left" w:pos="142"/>
        </w:tabs>
        <w:ind w:right="-1"/>
        <w:rPr>
          <w:sz w:val="18"/>
        </w:rPr>
      </w:pPr>
      <w:r>
        <w:rPr>
          <w:b/>
          <w:bCs/>
          <w:color w:val="939598"/>
          <w:spacing w:val="-3"/>
          <w:sz w:val="24"/>
          <w:szCs w:val="28"/>
        </w:rPr>
        <w:t>от воздействия агрессивных сред</w:t>
      </w:r>
    </w:p>
    <w:p w:rsidR="006D2E3B" w:rsidRPr="007A48AA" w:rsidRDefault="006D2E3B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</w:rPr>
      </w:pPr>
    </w:p>
    <w:p w:rsidR="0070598B" w:rsidRPr="005B298B" w:rsidRDefault="00A23A6D" w:rsidP="00324642">
      <w:pPr>
        <w:shd w:val="clear" w:color="auto" w:fill="FFFFFF"/>
        <w:tabs>
          <w:tab w:val="left" w:pos="142"/>
        </w:tabs>
        <w:rPr>
          <w:b/>
          <w:bCs/>
          <w:color w:val="231F20"/>
          <w:lang w:val="en-US"/>
        </w:rPr>
      </w:pPr>
      <w:r>
        <w:rPr>
          <w:b/>
          <w:bCs/>
          <w:color w:val="231F20"/>
        </w:rPr>
        <w:t>ПРЕИМУЩЕСТВА</w:t>
      </w:r>
    </w:p>
    <w:p w:rsidR="00ED1DFB" w:rsidRDefault="00ED1DFB" w:rsidP="00ED1DFB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color w:val="231F20"/>
          <w:spacing w:val="-1"/>
        </w:rPr>
      </w:pPr>
      <w:bookmarkStart w:id="0" w:name="_GoBack"/>
      <w:r w:rsidRPr="00ED1DFB">
        <w:rPr>
          <w:color w:val="231F20"/>
          <w:spacing w:val="-1"/>
        </w:rPr>
        <w:t xml:space="preserve">Высокая стойкость к </w:t>
      </w:r>
      <w:r w:rsidR="002B4F0F">
        <w:rPr>
          <w:color w:val="231F20"/>
          <w:spacing w:val="-1"/>
        </w:rPr>
        <w:t>серной, соляной, азотной и фосфорной кислоте</w:t>
      </w:r>
    </w:p>
    <w:p w:rsidR="00454947" w:rsidRPr="00454947" w:rsidRDefault="00454947" w:rsidP="00ED1DFB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rPr>
          <w:rFonts w:cs="Times New Roman"/>
          <w:color w:val="231F20"/>
        </w:rPr>
      </w:pPr>
      <w:r>
        <w:rPr>
          <w:color w:val="231F20"/>
          <w:spacing w:val="-1"/>
        </w:rPr>
        <w:t>Адгезия к любым минеральным основаниям и металлу</w:t>
      </w:r>
    </w:p>
    <w:p w:rsidR="0021519E" w:rsidRPr="00A24CCF" w:rsidRDefault="00454947" w:rsidP="00ED1DFB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rPr>
          <w:rFonts w:cs="Times New Roman"/>
          <w:color w:val="231F20"/>
        </w:rPr>
      </w:pPr>
      <w:r>
        <w:rPr>
          <w:color w:val="231F20"/>
          <w:spacing w:val="-1"/>
        </w:rPr>
        <w:t>Выдерживает высокие механические нагрузки</w:t>
      </w:r>
      <w:r w:rsidRPr="00454947">
        <w:rPr>
          <w:color w:val="231F20"/>
          <w:spacing w:val="-1"/>
        </w:rPr>
        <w:t xml:space="preserve"> </w:t>
      </w:r>
    </w:p>
    <w:bookmarkEnd w:id="0"/>
    <w:p w:rsidR="00CC0EB6" w:rsidRPr="00D339D8" w:rsidRDefault="00CC0EB6" w:rsidP="00324642">
      <w:pPr>
        <w:shd w:val="clear" w:color="auto" w:fill="FFFFFF"/>
        <w:tabs>
          <w:tab w:val="left" w:pos="142"/>
          <w:tab w:val="left" w:pos="235"/>
        </w:tabs>
        <w:ind w:firstLine="340"/>
        <w:rPr>
          <w:rFonts w:cs="Times New Roman"/>
          <w:color w:val="231F20"/>
        </w:rPr>
      </w:pPr>
    </w:p>
    <w:p w:rsidR="00771910" w:rsidRDefault="00A23A6D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СВОЙСТВА</w:t>
      </w:r>
    </w:p>
    <w:p w:rsidR="00771910" w:rsidRPr="002B4F0F" w:rsidRDefault="00771910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  <w:sz w:val="16"/>
          <w:szCs w:val="16"/>
        </w:rPr>
      </w:pPr>
    </w:p>
    <w:p w:rsidR="00E01E44" w:rsidRDefault="00B86D34" w:rsidP="00324642">
      <w:pPr>
        <w:shd w:val="clear" w:color="auto" w:fill="FFFFFF"/>
        <w:tabs>
          <w:tab w:val="left" w:pos="142"/>
          <w:tab w:val="left" w:pos="245"/>
        </w:tabs>
        <w:rPr>
          <w:bCs/>
          <w:color w:val="231F20"/>
        </w:rPr>
      </w:pPr>
      <w:r w:rsidRPr="006978D3">
        <w:rPr>
          <w:b/>
          <w:bCs/>
          <w:color w:val="231F20"/>
        </w:rPr>
        <w:t>Р</w:t>
      </w:r>
      <w:r w:rsidR="001E7B5B" w:rsidRPr="006978D3">
        <w:rPr>
          <w:b/>
          <w:bCs/>
          <w:color w:val="231F20"/>
        </w:rPr>
        <w:t>ЕНОВИР</w:t>
      </w:r>
      <w:r w:rsidRPr="006978D3">
        <w:rPr>
          <w:b/>
          <w:bCs/>
          <w:color w:val="231F20"/>
        </w:rPr>
        <w:t xml:space="preserve"> </w:t>
      </w:r>
      <w:r w:rsidR="00454947" w:rsidRPr="006978D3">
        <w:rPr>
          <w:b/>
          <w:bCs/>
          <w:color w:val="231F20"/>
        </w:rPr>
        <w:t>АР</w:t>
      </w:r>
      <w:r w:rsidRPr="006978D3">
        <w:rPr>
          <w:b/>
          <w:bCs/>
          <w:color w:val="231F20"/>
        </w:rPr>
        <w:t xml:space="preserve"> </w:t>
      </w:r>
      <w:r w:rsidR="00D339D8" w:rsidRPr="006978D3">
        <w:rPr>
          <w:bCs/>
          <w:color w:val="231F20"/>
        </w:rPr>
        <w:t>–</w:t>
      </w:r>
      <w:r w:rsidR="00771910" w:rsidRPr="006978D3">
        <w:rPr>
          <w:bCs/>
          <w:color w:val="231F20"/>
        </w:rPr>
        <w:t xml:space="preserve"> </w:t>
      </w:r>
      <w:r w:rsidR="00454947" w:rsidRPr="006978D3">
        <w:rPr>
          <w:bCs/>
          <w:color w:val="231F20"/>
        </w:rPr>
        <w:t>двухкомпонентная смесь на основе полимерсиликатного связующего и тщательно подобранной сухой смеси</w:t>
      </w:r>
      <w:r w:rsidR="00E30371" w:rsidRPr="006978D3">
        <w:rPr>
          <w:bCs/>
          <w:color w:val="231F20"/>
        </w:rPr>
        <w:t xml:space="preserve">. Состав содержит армирующую фибру стойкую к воздействию </w:t>
      </w:r>
      <w:r w:rsidR="002B4F0F" w:rsidRPr="006978D3">
        <w:rPr>
          <w:bCs/>
          <w:color w:val="231F20"/>
        </w:rPr>
        <w:t>сильных кислот</w:t>
      </w:r>
      <w:r w:rsidR="00EE3860">
        <w:rPr>
          <w:bCs/>
          <w:color w:val="231F20"/>
        </w:rPr>
        <w:t>,</w:t>
      </w:r>
      <w:r w:rsidR="002B4F0F" w:rsidRPr="006978D3">
        <w:rPr>
          <w:bCs/>
          <w:color w:val="231F20"/>
        </w:rPr>
        <w:t xml:space="preserve"> в том числе к органическим.</w:t>
      </w:r>
      <w:r w:rsidR="00454947" w:rsidRPr="006978D3">
        <w:rPr>
          <w:bCs/>
          <w:color w:val="231F20"/>
        </w:rPr>
        <w:t xml:space="preserve"> </w:t>
      </w:r>
      <w:r w:rsidR="00E01E44" w:rsidRPr="006978D3">
        <w:rPr>
          <w:bCs/>
          <w:color w:val="231F20"/>
        </w:rPr>
        <w:t xml:space="preserve">РЕНОВИР АР используется в различных инженерных сооружениях и </w:t>
      </w:r>
      <w:r w:rsidR="00673E3D" w:rsidRPr="006978D3">
        <w:rPr>
          <w:bCs/>
          <w:color w:val="231F20"/>
        </w:rPr>
        <w:t>конструкциях,</w:t>
      </w:r>
      <w:r w:rsidR="00E01E44" w:rsidRPr="006978D3">
        <w:rPr>
          <w:bCs/>
          <w:color w:val="231F20"/>
        </w:rPr>
        <w:t xml:space="preserve"> на которые воздействуют концентрированные неорганические и органические кислоты (кроме </w:t>
      </w:r>
      <w:proofErr w:type="spellStart"/>
      <w:r w:rsidR="00E01E44" w:rsidRPr="006978D3">
        <w:rPr>
          <w:bCs/>
          <w:color w:val="231F20"/>
        </w:rPr>
        <w:t>фтористоводорной</w:t>
      </w:r>
      <w:proofErr w:type="spellEnd"/>
      <w:r w:rsidR="00E01E44" w:rsidRPr="006978D3">
        <w:rPr>
          <w:bCs/>
          <w:color w:val="231F20"/>
        </w:rPr>
        <w:t xml:space="preserve"> и кремневой кислот). </w:t>
      </w:r>
      <w:r w:rsidR="006978D3" w:rsidRPr="006978D3">
        <w:rPr>
          <w:color w:val="231F20"/>
          <w:spacing w:val="-1"/>
        </w:rPr>
        <w:t>Начало эксплуатации в агрессивных средах через 7 суток</w:t>
      </w:r>
      <w:r w:rsidR="006978D3">
        <w:rPr>
          <w:color w:val="231F20"/>
          <w:spacing w:val="-1"/>
        </w:rPr>
        <w:t xml:space="preserve">. </w:t>
      </w:r>
      <w:r w:rsidR="00E01E44">
        <w:rPr>
          <w:bCs/>
          <w:color w:val="231F20"/>
        </w:rPr>
        <w:t>Покрытие не рекомендуется использов</w:t>
      </w:r>
      <w:r w:rsidR="001F4EF8">
        <w:rPr>
          <w:bCs/>
          <w:color w:val="231F20"/>
        </w:rPr>
        <w:t xml:space="preserve">ать без специальной защиты в контакте с </w:t>
      </w:r>
      <w:r w:rsidR="00E01E44">
        <w:rPr>
          <w:bCs/>
          <w:color w:val="231F20"/>
        </w:rPr>
        <w:t>водой и щелочами.</w:t>
      </w:r>
    </w:p>
    <w:p w:rsidR="009679AE" w:rsidRPr="007A48AA" w:rsidRDefault="009679AE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  <w:sz w:val="16"/>
          <w:szCs w:val="16"/>
        </w:rPr>
      </w:pPr>
    </w:p>
    <w:p w:rsidR="002060C1" w:rsidRPr="005A374C" w:rsidRDefault="00E94434" w:rsidP="00324642">
      <w:pPr>
        <w:shd w:val="clear" w:color="auto" w:fill="FFFFFF"/>
        <w:tabs>
          <w:tab w:val="left" w:pos="142"/>
          <w:tab w:val="left" w:pos="245"/>
        </w:tabs>
      </w:pPr>
      <w:r>
        <w:rPr>
          <w:b/>
          <w:bCs/>
          <w:color w:val="231F20"/>
        </w:rPr>
        <w:t>ОБЛАСТЬ ПРИМЕНЕНИЯ</w:t>
      </w:r>
    </w:p>
    <w:p w:rsidR="001346F8" w:rsidRPr="00C92140" w:rsidRDefault="001346F8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:rsidR="001E7B5B" w:rsidRDefault="00E30371" w:rsidP="00324642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 w:hanging="283"/>
      </w:pPr>
      <w:r>
        <w:t xml:space="preserve">Для защиты </w:t>
      </w:r>
      <w:r w:rsidR="003A2E04">
        <w:t>минеральных оснований и металлических поверхностей</w:t>
      </w:r>
      <w:r>
        <w:t xml:space="preserve"> в коллекторах сточных вод при воздействии биогенной серной кислоты</w:t>
      </w:r>
    </w:p>
    <w:p w:rsidR="003A2E04" w:rsidRDefault="00E30371" w:rsidP="0026535B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 w:hanging="283"/>
      </w:pPr>
      <w:r>
        <w:t>Промышленные предприятия</w:t>
      </w:r>
      <w:r w:rsidR="003A2E04">
        <w:t>:</w:t>
      </w:r>
      <w:r>
        <w:t xml:space="preserve"> мясо</w:t>
      </w:r>
      <w:r w:rsidR="00FE68F4" w:rsidRPr="00FE68F4">
        <w:t>перерабатывающие</w:t>
      </w:r>
      <w:r w:rsidR="00FE68F4">
        <w:t>,</w:t>
      </w:r>
      <w:r w:rsidR="00FE68F4" w:rsidRPr="00FE68F4">
        <w:t xml:space="preserve"> </w:t>
      </w:r>
      <w:r>
        <w:t>молочные, спиртовые заводы</w:t>
      </w:r>
      <w:r w:rsidR="003A2E04">
        <w:t xml:space="preserve"> и т.д.</w:t>
      </w:r>
    </w:p>
    <w:p w:rsidR="00E30371" w:rsidRDefault="00E30371" w:rsidP="0026535B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 w:hanging="283"/>
      </w:pPr>
      <w:r>
        <w:t>Промышленные полы</w:t>
      </w:r>
    </w:p>
    <w:p w:rsidR="00975775" w:rsidRPr="00C92140" w:rsidRDefault="00975775" w:rsidP="00324642">
      <w:pPr>
        <w:shd w:val="clear" w:color="auto" w:fill="FFFFFF"/>
        <w:tabs>
          <w:tab w:val="left" w:pos="142"/>
        </w:tabs>
        <w:ind w:left="709" w:hanging="283"/>
        <w:rPr>
          <w:sz w:val="16"/>
          <w:szCs w:val="16"/>
        </w:rPr>
      </w:pPr>
    </w:p>
    <w:p w:rsidR="0070598B" w:rsidRDefault="00E94434" w:rsidP="00324642">
      <w:pPr>
        <w:shd w:val="clear" w:color="auto" w:fill="FFFFFF"/>
        <w:tabs>
          <w:tab w:val="left" w:pos="-142"/>
          <w:tab w:val="left" w:pos="142"/>
        </w:tabs>
        <w:rPr>
          <w:b/>
          <w:bCs/>
          <w:color w:val="231F20"/>
        </w:rPr>
      </w:pPr>
      <w:r>
        <w:rPr>
          <w:b/>
          <w:bCs/>
          <w:color w:val="231F20"/>
        </w:rPr>
        <w:t>ПОДГОТОВКА ОСНОВАНИЯ</w:t>
      </w:r>
    </w:p>
    <w:p w:rsidR="00D80814" w:rsidRDefault="00D80814" w:rsidP="00324642">
      <w:pPr>
        <w:shd w:val="clear" w:color="auto" w:fill="FFFFFF"/>
        <w:tabs>
          <w:tab w:val="left" w:pos="-142"/>
          <w:tab w:val="left" w:pos="142"/>
        </w:tabs>
        <w:ind w:firstLine="340"/>
        <w:rPr>
          <w:sz w:val="16"/>
          <w:szCs w:val="16"/>
        </w:rPr>
      </w:pPr>
    </w:p>
    <w:p w:rsidR="00A24CCF" w:rsidRDefault="00E94434" w:rsidP="00A24CCF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>
        <w:t>О</w:t>
      </w:r>
      <w:r w:rsidR="00685E32">
        <w:t>сновани</w:t>
      </w:r>
      <w:r>
        <w:t>е</w:t>
      </w:r>
      <w:r w:rsidR="00685E32">
        <w:t xml:space="preserve"> необходимо</w:t>
      </w:r>
      <w:r w:rsidR="00B34B7E" w:rsidRPr="00B34B7E">
        <w:t xml:space="preserve"> очи</w:t>
      </w:r>
      <w:r w:rsidR="00B34B7E">
        <w:t xml:space="preserve">стить от веществ, </w:t>
      </w:r>
      <w:r w:rsidR="00685E32">
        <w:t>снижающих адгезию</w:t>
      </w:r>
      <w:r>
        <w:t>. М</w:t>
      </w:r>
      <w:r w:rsidR="00B34B7E">
        <w:t>асл</w:t>
      </w:r>
      <w:r w:rsidR="00627381">
        <w:t>а</w:t>
      </w:r>
      <w:r w:rsidR="00B34B7E">
        <w:t xml:space="preserve">, </w:t>
      </w:r>
      <w:r w:rsidR="00627381">
        <w:t xml:space="preserve">жир, битум, </w:t>
      </w:r>
      <w:r>
        <w:t>краска должны быть удалены</w:t>
      </w:r>
      <w:r w:rsidR="00685E32">
        <w:t xml:space="preserve">. </w:t>
      </w:r>
      <w:r w:rsidR="00A24CCF">
        <w:t>Металлические поверхности</w:t>
      </w:r>
      <w:r w:rsidR="00685E32">
        <w:t xml:space="preserve"> должны быть очищены от ржавчины с применением пескоструйной обработки</w:t>
      </w:r>
      <w:r w:rsidR="00A24CCF">
        <w:t xml:space="preserve">. </w:t>
      </w:r>
      <w:r w:rsidR="003A2E04">
        <w:t>Нарушенную геометрию конструкции или разрушенные участки, следует предварительно отремонтировать с помощь</w:t>
      </w:r>
      <w:r w:rsidR="00A24CCF">
        <w:t xml:space="preserve">ю РЕНОВИР Рем60Т (см технические указания). </w:t>
      </w:r>
      <w:r w:rsidR="00292CEF">
        <w:t>Перед</w:t>
      </w:r>
      <w:r w:rsidR="00292CEF" w:rsidRPr="00B34B7E">
        <w:t xml:space="preserve"> нанесени</w:t>
      </w:r>
      <w:r w:rsidR="00292CEF">
        <w:t>ем растворной смеси,</w:t>
      </w:r>
      <w:r w:rsidR="004C52AB">
        <w:t xml:space="preserve"> основание необходимо насытить водой до матово-влажного состояния</w:t>
      </w:r>
      <w:r w:rsidR="00CE5CEF">
        <w:t xml:space="preserve"> и обработать </w:t>
      </w:r>
      <w:r w:rsidR="00FE68F4" w:rsidRPr="00FE68F4">
        <w:t xml:space="preserve">полимерсиликатной </w:t>
      </w:r>
      <w:r w:rsidR="00FE68F4">
        <w:t>грунтовкой</w:t>
      </w:r>
      <w:r w:rsidR="00A24CCF">
        <w:t xml:space="preserve"> РЕН</w:t>
      </w:r>
      <w:r w:rsidR="00CE5CEF">
        <w:t>О</w:t>
      </w:r>
      <w:r w:rsidR="00A24CCF">
        <w:t>В</w:t>
      </w:r>
      <w:r w:rsidR="00CE5CEF">
        <w:t xml:space="preserve">ИР </w:t>
      </w:r>
      <w:proofErr w:type="spellStart"/>
      <w:r w:rsidR="00CE5CEF">
        <w:t>Праймер</w:t>
      </w:r>
      <w:r w:rsidR="00FE68F4">
        <w:t>АР</w:t>
      </w:r>
      <w:proofErr w:type="spellEnd"/>
      <w:r w:rsidR="00A24CCF">
        <w:t xml:space="preserve"> (с</w:t>
      </w:r>
      <w:r w:rsidR="00FE68F4">
        <w:t xml:space="preserve">м </w:t>
      </w:r>
      <w:r w:rsidR="00A24CCF">
        <w:t>подробное описание на грунтовку).</w:t>
      </w:r>
    </w:p>
    <w:p w:rsidR="00B2118B" w:rsidRDefault="00A24CCF" w:rsidP="00A24CCF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>
        <w:t xml:space="preserve"> </w:t>
      </w:r>
    </w:p>
    <w:p w:rsidR="00C66E4E" w:rsidRDefault="00E94434" w:rsidP="00324642">
      <w:pPr>
        <w:shd w:val="clear" w:color="auto" w:fill="FFFFFF"/>
        <w:tabs>
          <w:tab w:val="left" w:pos="-142"/>
          <w:tab w:val="left" w:pos="142"/>
        </w:tabs>
        <w:rPr>
          <w:b/>
          <w:bCs/>
          <w:color w:val="231F20"/>
        </w:rPr>
      </w:pPr>
      <w:r w:rsidRPr="00C66E4E">
        <w:rPr>
          <w:b/>
          <w:bCs/>
          <w:color w:val="231F20"/>
        </w:rPr>
        <w:t xml:space="preserve">ПРИГОТОВЛЕНИЕ </w:t>
      </w:r>
      <w:r>
        <w:rPr>
          <w:b/>
          <w:bCs/>
          <w:color w:val="231F20"/>
        </w:rPr>
        <w:t xml:space="preserve">РАСТВОРНОЙ </w:t>
      </w:r>
      <w:r w:rsidRPr="00C66E4E">
        <w:rPr>
          <w:b/>
          <w:bCs/>
          <w:color w:val="231F20"/>
        </w:rPr>
        <w:t>СМЕСИ</w:t>
      </w:r>
    </w:p>
    <w:p w:rsidR="00C66E4E" w:rsidRPr="0084384A" w:rsidRDefault="00C66E4E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:rsidR="00757346" w:rsidRDefault="00E01E44" w:rsidP="003A2E04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>
        <w:t xml:space="preserve">Приготовление растворной смеси осуществляется только механизированным способом, с использованием смесителей принудительного действия. Приготовление в смесителях гравитационного типа – недопустимо.  </w:t>
      </w:r>
      <w:r w:rsidR="001F4EF8">
        <w:t>В случае необходимости осуществления ремонта небольших участков для приготовления смеси допустимо использование специальных ручных растворосмесителей (типа «</w:t>
      </w:r>
      <w:proofErr w:type="spellStart"/>
      <w:r w:rsidR="001F4EF8">
        <w:t>Протул</w:t>
      </w:r>
      <w:proofErr w:type="spellEnd"/>
      <w:r w:rsidR="001F4EF8">
        <w:t xml:space="preserve">»). </w:t>
      </w:r>
      <w:r w:rsidR="00757346" w:rsidRPr="00757346">
        <w:t xml:space="preserve">Для </w:t>
      </w:r>
      <w:r w:rsidR="004A2E08">
        <w:t>приготовления</w:t>
      </w:r>
      <w:r w:rsidR="00757346" w:rsidRPr="00757346">
        <w:t xml:space="preserve"> </w:t>
      </w:r>
      <w:r w:rsidR="004A2E08">
        <w:t>растворной</w:t>
      </w:r>
      <w:r w:rsidR="00757346" w:rsidRPr="00757346">
        <w:t xml:space="preserve"> смеси </w:t>
      </w:r>
      <w:r w:rsidR="00C92140">
        <w:t xml:space="preserve">необходимо </w:t>
      </w:r>
      <w:r w:rsidR="00A24CCF">
        <w:t xml:space="preserve">смешать сухой </w:t>
      </w:r>
      <w:proofErr w:type="gramStart"/>
      <w:r w:rsidR="00A24CCF">
        <w:t xml:space="preserve">компонент </w:t>
      </w:r>
      <w:r w:rsidR="001F4EF8">
        <w:t xml:space="preserve"> </w:t>
      </w:r>
      <w:r w:rsidR="00A24CCF">
        <w:t>РЕН</w:t>
      </w:r>
      <w:r w:rsidR="00E30371">
        <w:t>О</w:t>
      </w:r>
      <w:r w:rsidR="00A24CCF">
        <w:t>В</w:t>
      </w:r>
      <w:r w:rsidR="00E30371">
        <w:t>ИР</w:t>
      </w:r>
      <w:proofErr w:type="gramEnd"/>
      <w:r w:rsidR="00E30371">
        <w:t xml:space="preserve"> АР с жидким</w:t>
      </w:r>
      <w:r w:rsidR="001F4EF8">
        <w:t xml:space="preserve"> компонентном</w:t>
      </w:r>
      <w:r w:rsidR="00757346" w:rsidRPr="00757346">
        <w:t xml:space="preserve">. </w:t>
      </w:r>
      <w:r w:rsidR="00E30371">
        <w:t>Для затворения сухой смеси</w:t>
      </w:r>
      <w:r w:rsidR="00C81696">
        <w:t xml:space="preserve"> требуется </w:t>
      </w:r>
      <w:r>
        <w:t xml:space="preserve">примерно </w:t>
      </w:r>
      <w:r w:rsidR="00C81696">
        <w:t xml:space="preserve">0,12 масс. </w:t>
      </w:r>
      <w:r w:rsidR="00E30371">
        <w:t>частей жидкого компонента, т.е. на 25</w:t>
      </w:r>
      <w:r w:rsidR="00C81696">
        <w:t xml:space="preserve"> кг смеси требуется взять 3</w:t>
      </w:r>
      <w:r w:rsidR="00E30371">
        <w:t xml:space="preserve"> </w:t>
      </w:r>
      <w:r w:rsidR="00B82A88">
        <w:t>кг (</w:t>
      </w:r>
      <w:proofErr w:type="spellStart"/>
      <w:r w:rsidR="00B82A88">
        <w:t>ок</w:t>
      </w:r>
      <w:proofErr w:type="spellEnd"/>
      <w:r w:rsidR="00B82A88">
        <w:t xml:space="preserve"> 2,1</w:t>
      </w:r>
      <w:r w:rsidR="00C81696">
        <w:t xml:space="preserve"> литра</w:t>
      </w:r>
      <w:r w:rsidR="00B82A88">
        <w:t xml:space="preserve">) </w:t>
      </w:r>
      <w:r w:rsidR="00E30371">
        <w:t xml:space="preserve">жидкого компонента. </w:t>
      </w:r>
      <w:r w:rsidR="00E94434" w:rsidRPr="00757346">
        <w:t xml:space="preserve">Сухую смесь </w:t>
      </w:r>
      <w:r w:rsidR="00E94434">
        <w:t xml:space="preserve">следует засыпать в заранее отмеренное количество </w:t>
      </w:r>
      <w:r w:rsidR="00E30371">
        <w:t>затворителя</w:t>
      </w:r>
      <w:r w:rsidR="00E94434">
        <w:t xml:space="preserve"> и перемешать с помощью растворосмесителя до однородной консистенции.</w:t>
      </w:r>
      <w:r w:rsidR="00E94434" w:rsidRPr="00757346">
        <w:t xml:space="preserve"> </w:t>
      </w:r>
      <w:r w:rsidR="00627381">
        <w:t>Продолжительность перемешивания – 3-</w:t>
      </w:r>
      <w:r w:rsidR="008E6220">
        <w:t>5</w:t>
      </w:r>
      <w:r w:rsidR="00627381">
        <w:t xml:space="preserve"> минут. </w:t>
      </w:r>
      <w:r w:rsidR="008E6220">
        <w:t xml:space="preserve">Добавление воды </w:t>
      </w:r>
      <w:r w:rsidR="00B82A88">
        <w:t xml:space="preserve">и </w:t>
      </w:r>
      <w:r w:rsidR="00C81696">
        <w:t xml:space="preserve">любых </w:t>
      </w:r>
      <w:r w:rsidR="00B82A88">
        <w:t xml:space="preserve">других компонентов </w:t>
      </w:r>
      <w:r w:rsidR="008E6220">
        <w:t>– не допустимо.</w:t>
      </w:r>
    </w:p>
    <w:p w:rsidR="00757346" w:rsidRPr="00C92140" w:rsidRDefault="00757346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:rsidR="00C66E4E" w:rsidRDefault="00E9443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НАНЕСЕНИЕ МАТЕРИАЛА</w:t>
      </w:r>
    </w:p>
    <w:p w:rsidR="00C66E4E" w:rsidRPr="0084384A" w:rsidRDefault="00C66E4E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  <w:sz w:val="16"/>
          <w:szCs w:val="16"/>
        </w:rPr>
      </w:pPr>
    </w:p>
    <w:p w:rsidR="00B4406A" w:rsidRPr="00B4406A" w:rsidRDefault="002C3326" w:rsidP="003A2E04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 w:rsidRPr="00757346">
        <w:rPr>
          <w:bCs/>
          <w:color w:val="231F20"/>
        </w:rPr>
        <w:t xml:space="preserve">При проведении работ и в течение последующих </w:t>
      </w:r>
      <w:r w:rsidR="008E6220">
        <w:rPr>
          <w:bCs/>
          <w:color w:val="231F20"/>
        </w:rPr>
        <w:t>7</w:t>
      </w:r>
      <w:r w:rsidRPr="00757346">
        <w:rPr>
          <w:bCs/>
          <w:color w:val="231F20"/>
        </w:rPr>
        <w:t xml:space="preserve"> суток, температура воздуха</w:t>
      </w:r>
      <w:r>
        <w:rPr>
          <w:bCs/>
          <w:color w:val="231F20"/>
        </w:rPr>
        <w:t xml:space="preserve"> и </w:t>
      </w:r>
      <w:r w:rsidRPr="00757346">
        <w:rPr>
          <w:bCs/>
          <w:color w:val="231F20"/>
        </w:rPr>
        <w:t>основания должна быть в пределах от +5</w:t>
      </w:r>
      <w:r>
        <w:rPr>
          <w:bCs/>
          <w:color w:val="231F20"/>
        </w:rPr>
        <w:t xml:space="preserve"> </w:t>
      </w:r>
      <w:r w:rsidRPr="00757346">
        <w:rPr>
          <w:bCs/>
          <w:color w:val="231F20"/>
        </w:rPr>
        <w:t>ºС до +3</w:t>
      </w:r>
      <w:r>
        <w:rPr>
          <w:bCs/>
          <w:color w:val="231F20"/>
        </w:rPr>
        <w:t>5 ºС</w:t>
      </w:r>
      <w:r w:rsidR="005A374C">
        <w:rPr>
          <w:bCs/>
          <w:color w:val="231F20"/>
        </w:rPr>
        <w:t>.</w:t>
      </w:r>
      <w:r w:rsidR="008E6220">
        <w:rPr>
          <w:bCs/>
          <w:color w:val="231F20"/>
        </w:rPr>
        <w:t xml:space="preserve"> В процессе набора прочности следует избегать попадание воды на выровненную поверхность РЕНО</w:t>
      </w:r>
      <w:r w:rsidR="00A24CCF">
        <w:rPr>
          <w:bCs/>
          <w:color w:val="231F20"/>
        </w:rPr>
        <w:t>В</w:t>
      </w:r>
      <w:r w:rsidR="008E6220">
        <w:rPr>
          <w:bCs/>
          <w:color w:val="231F20"/>
        </w:rPr>
        <w:t>ИР АР.</w:t>
      </w:r>
      <w:r>
        <w:t xml:space="preserve"> </w:t>
      </w:r>
      <w:r w:rsidR="00232391">
        <w:t>Приготовленн</w:t>
      </w:r>
      <w:r w:rsidR="00292CEF">
        <w:t xml:space="preserve">ая растворная смесь </w:t>
      </w:r>
      <w:r w:rsidR="004C52AB">
        <w:t>наносится машинным способом</w:t>
      </w:r>
      <w:r w:rsidR="008E6220">
        <w:t xml:space="preserve"> </w:t>
      </w:r>
      <w:r w:rsidR="00C81696">
        <w:t>(</w:t>
      </w:r>
      <w:r w:rsidR="008E6220">
        <w:t>мокрым торкретированием</w:t>
      </w:r>
      <w:r w:rsidR="00C81696">
        <w:t>)</w:t>
      </w:r>
      <w:r w:rsidR="004C52AB">
        <w:t>.</w:t>
      </w:r>
      <w:r>
        <w:t xml:space="preserve"> </w:t>
      </w:r>
      <w:r w:rsidR="001F4EF8">
        <w:t xml:space="preserve">Для ремонта небольших участков возможно ручное нанесение. </w:t>
      </w:r>
      <w:r w:rsidR="00B4406A" w:rsidRPr="00B4406A">
        <w:t xml:space="preserve">Нанесение может производиться как в один, так и в несколько слоёв. </w:t>
      </w:r>
      <w:r w:rsidR="00232391">
        <w:t>Для получения гладкой поверхности</w:t>
      </w:r>
      <w:r w:rsidR="00292CEF">
        <w:t>, нанесенную растворную смесь</w:t>
      </w:r>
      <w:r w:rsidR="00232391">
        <w:t xml:space="preserve"> </w:t>
      </w:r>
      <w:r w:rsidR="00B4406A">
        <w:t>раз</w:t>
      </w:r>
      <w:r w:rsidR="00232391">
        <w:t xml:space="preserve">глаживают при помощи </w:t>
      </w:r>
      <w:r w:rsidR="008E6220">
        <w:t>металлической кельмы</w:t>
      </w:r>
      <w:r w:rsidR="001F4EF8">
        <w:t xml:space="preserve"> или терки</w:t>
      </w:r>
      <w:r w:rsidR="00232391">
        <w:t xml:space="preserve">. </w:t>
      </w:r>
      <w:r w:rsidR="004C52AB" w:rsidRPr="00757346">
        <w:t xml:space="preserve">Время использования готовой растворной смеси </w:t>
      </w:r>
      <w:r w:rsidR="004C52AB">
        <w:t>составляет около</w:t>
      </w:r>
      <w:r w:rsidR="004C52AB" w:rsidRPr="00757346">
        <w:t xml:space="preserve"> </w:t>
      </w:r>
      <w:r w:rsidR="001748FC">
        <w:t>30</w:t>
      </w:r>
      <w:r w:rsidR="004C52AB">
        <w:t xml:space="preserve"> минут. При повышен</w:t>
      </w:r>
      <w:r w:rsidR="00875B40">
        <w:t>ных температурах</w:t>
      </w:r>
      <w:r w:rsidR="004C52AB">
        <w:t xml:space="preserve"> </w:t>
      </w:r>
      <w:r w:rsidR="00875B40">
        <w:t>время использования растворной смеси может сокращаться</w:t>
      </w:r>
      <w:r w:rsidR="005A374C">
        <w:t>.</w:t>
      </w:r>
    </w:p>
    <w:p w:rsidR="00BD606F" w:rsidRDefault="00BD606F" w:rsidP="00A24CCF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5A374C" w:rsidRDefault="005A374C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B4406A" w:rsidRDefault="00E9443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ПОСЛЕДУЮЩИЙ УХОД</w:t>
      </w:r>
    </w:p>
    <w:p w:rsidR="00B4406A" w:rsidRDefault="00B4406A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</w:rPr>
      </w:pPr>
    </w:p>
    <w:p w:rsidR="00B4406A" w:rsidRPr="00B4406A" w:rsidRDefault="00A24CCF" w:rsidP="003A2E04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>
        <w:t xml:space="preserve">Начало эксплуатации в условиях агрессивных сред допускается через 7 суток после укладки покрытия. </w:t>
      </w:r>
      <w:r w:rsidR="00875B40">
        <w:t xml:space="preserve">Свежеуложенную растворную смесь необходимо защищать от воздействия </w:t>
      </w:r>
      <w:r w:rsidR="008E6220">
        <w:t>воды</w:t>
      </w:r>
      <w:r w:rsidR="00875B40">
        <w:t xml:space="preserve">, атмосферных осадков и воздействия прямых солнечных лучей. </w:t>
      </w:r>
      <w:r w:rsidR="008E6220">
        <w:t xml:space="preserve">Для защиты свежеуложенного покрытия от быстрого высыхания рекомендуется обработка восковыми эмульсиями. </w:t>
      </w:r>
    </w:p>
    <w:p w:rsidR="00B4406A" w:rsidRDefault="00B4406A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</w:rPr>
      </w:pPr>
    </w:p>
    <w:p w:rsidR="000F765F" w:rsidRDefault="00E9443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ВНИМАНИЕ</w:t>
      </w:r>
    </w:p>
    <w:p w:rsidR="000F765F" w:rsidRPr="0084384A" w:rsidRDefault="000F765F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  <w:sz w:val="16"/>
          <w:szCs w:val="16"/>
        </w:rPr>
      </w:pPr>
    </w:p>
    <w:p w:rsidR="001C79D3" w:rsidRPr="00C92140" w:rsidRDefault="008E6220" w:rsidP="003A2E04">
      <w:pPr>
        <w:shd w:val="clear" w:color="auto" w:fill="FFFFFF"/>
        <w:tabs>
          <w:tab w:val="left" w:pos="142"/>
        </w:tabs>
        <w:ind w:firstLine="340"/>
        <w:jc w:val="both"/>
        <w:rPr>
          <w:sz w:val="16"/>
          <w:szCs w:val="16"/>
        </w:rPr>
      </w:pPr>
      <w:r>
        <w:rPr>
          <w:bCs/>
          <w:color w:val="231F20"/>
        </w:rPr>
        <w:t>Продукт имеет высокощелочную среду</w:t>
      </w:r>
      <w:r w:rsidR="001C79D3">
        <w:rPr>
          <w:bCs/>
          <w:color w:val="231F20"/>
        </w:rPr>
        <w:t xml:space="preserve">. </w:t>
      </w:r>
      <w:r w:rsidR="001C79D3" w:rsidRPr="00757346">
        <w:rPr>
          <w:bCs/>
          <w:color w:val="231F20"/>
        </w:rPr>
        <w:t xml:space="preserve">В процессе производства работ </w:t>
      </w:r>
      <w:r w:rsidR="001C79D3">
        <w:rPr>
          <w:bCs/>
          <w:color w:val="231F20"/>
        </w:rPr>
        <w:t>следует использовать средства индивидуальной защиты. При попадании смеси на от</w:t>
      </w:r>
      <w:r w:rsidR="001C79D3" w:rsidRPr="00E80B19">
        <w:rPr>
          <w:bCs/>
          <w:color w:val="231F20"/>
        </w:rPr>
        <w:t>к</w:t>
      </w:r>
      <w:r w:rsidR="001C79D3">
        <w:rPr>
          <w:bCs/>
          <w:color w:val="231F20"/>
        </w:rPr>
        <w:t>рытые участки кожи или в глаза их следует промыть обильным количеством воды.</w:t>
      </w:r>
    </w:p>
    <w:p w:rsidR="00A5316E" w:rsidRPr="00C92140" w:rsidRDefault="00A5316E" w:rsidP="003A2E04">
      <w:pPr>
        <w:shd w:val="clear" w:color="auto" w:fill="FFFFFF"/>
        <w:tabs>
          <w:tab w:val="left" w:pos="142"/>
        </w:tabs>
        <w:ind w:firstLine="340"/>
        <w:jc w:val="both"/>
        <w:rPr>
          <w:sz w:val="16"/>
          <w:szCs w:val="16"/>
        </w:rPr>
      </w:pPr>
    </w:p>
    <w:p w:rsidR="00A5316E" w:rsidRPr="00A5316E" w:rsidRDefault="000C1189" w:rsidP="003A2E04">
      <w:pPr>
        <w:shd w:val="clear" w:color="auto" w:fill="FFFFFF"/>
        <w:tabs>
          <w:tab w:val="left" w:pos="142"/>
          <w:tab w:val="left" w:pos="245"/>
        </w:tabs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ХРАНЕНИЕ И УПАКОВКА</w:t>
      </w:r>
    </w:p>
    <w:p w:rsidR="00A5316E" w:rsidRPr="0084384A" w:rsidRDefault="00A5316E" w:rsidP="003A2E04">
      <w:pPr>
        <w:shd w:val="clear" w:color="auto" w:fill="FFFFFF"/>
        <w:tabs>
          <w:tab w:val="left" w:pos="142"/>
          <w:tab w:val="left" w:pos="245"/>
        </w:tabs>
        <w:ind w:firstLine="340"/>
        <w:jc w:val="both"/>
        <w:rPr>
          <w:bCs/>
          <w:color w:val="231F20"/>
          <w:sz w:val="16"/>
          <w:szCs w:val="16"/>
        </w:rPr>
      </w:pPr>
    </w:p>
    <w:p w:rsidR="0084384A" w:rsidRDefault="009E78A2" w:rsidP="003A2E04">
      <w:pPr>
        <w:shd w:val="clear" w:color="auto" w:fill="FFFFFF"/>
        <w:tabs>
          <w:tab w:val="left" w:pos="142"/>
          <w:tab w:val="left" w:pos="245"/>
        </w:tabs>
        <w:ind w:firstLine="340"/>
        <w:jc w:val="both"/>
        <w:rPr>
          <w:bCs/>
          <w:color w:val="231F20"/>
        </w:rPr>
      </w:pPr>
      <w:r>
        <w:rPr>
          <w:bCs/>
          <w:color w:val="231F20"/>
        </w:rPr>
        <w:t xml:space="preserve">Сухая смесь </w:t>
      </w:r>
      <w:r w:rsidRPr="00F42588">
        <w:rPr>
          <w:bCs/>
          <w:color w:val="231F20"/>
        </w:rPr>
        <w:t xml:space="preserve">РЕНОВИР </w:t>
      </w:r>
      <w:r w:rsidR="008E6220">
        <w:rPr>
          <w:bCs/>
          <w:color w:val="231F20"/>
        </w:rPr>
        <w:t>АР</w:t>
      </w:r>
      <w:r>
        <w:rPr>
          <w:bCs/>
          <w:color w:val="231F20"/>
        </w:rPr>
        <w:t xml:space="preserve"> поставляется в многослойных мешках </w:t>
      </w:r>
      <w:r w:rsidR="000C1189">
        <w:rPr>
          <w:bCs/>
          <w:color w:val="231F20"/>
        </w:rPr>
        <w:t xml:space="preserve">с полиэтиленовым вкладышем </w:t>
      </w:r>
      <w:r w:rsidR="001F4EF8">
        <w:rPr>
          <w:bCs/>
          <w:color w:val="231F20"/>
        </w:rPr>
        <w:t>по 25 кг.</w:t>
      </w:r>
      <w:r>
        <w:rPr>
          <w:bCs/>
          <w:color w:val="231F20"/>
        </w:rPr>
        <w:t xml:space="preserve"> </w:t>
      </w:r>
      <w:r w:rsidR="008E6220">
        <w:rPr>
          <w:bCs/>
          <w:color w:val="231F20"/>
        </w:rPr>
        <w:t xml:space="preserve">Жидкий компонент поставляется </w:t>
      </w:r>
      <w:r w:rsidR="00A24CCF">
        <w:rPr>
          <w:bCs/>
          <w:color w:val="231F20"/>
        </w:rPr>
        <w:t xml:space="preserve">в </w:t>
      </w:r>
      <w:r w:rsidR="00B82A88">
        <w:rPr>
          <w:bCs/>
          <w:color w:val="231F20"/>
        </w:rPr>
        <w:t>10</w:t>
      </w:r>
      <w:r w:rsidR="001F4EF8">
        <w:rPr>
          <w:bCs/>
          <w:color w:val="231F20"/>
        </w:rPr>
        <w:t>, 30</w:t>
      </w:r>
      <w:r w:rsidR="00B82A88">
        <w:rPr>
          <w:bCs/>
          <w:color w:val="231F20"/>
        </w:rPr>
        <w:t xml:space="preserve"> л канистрах (13</w:t>
      </w:r>
      <w:r w:rsidR="001F4EF8">
        <w:rPr>
          <w:bCs/>
          <w:color w:val="231F20"/>
        </w:rPr>
        <w:t>, 25</w:t>
      </w:r>
      <w:r w:rsidR="00B82A88">
        <w:rPr>
          <w:bCs/>
          <w:color w:val="231F20"/>
        </w:rPr>
        <w:t xml:space="preserve"> кг). </w:t>
      </w:r>
      <w:r w:rsidR="008122B1">
        <w:rPr>
          <w:bCs/>
          <w:color w:val="231F20"/>
        </w:rPr>
        <w:t xml:space="preserve">Хранение - в течение 12 месяцев в заводской упаковке, в условиях, исключающих попадание влаги. </w:t>
      </w:r>
      <w:r w:rsidR="00C81696">
        <w:rPr>
          <w:bCs/>
          <w:color w:val="231F20"/>
        </w:rPr>
        <w:t xml:space="preserve">Не допускается замораживание жидкого компонента. </w:t>
      </w:r>
      <w:r w:rsidR="0084384A" w:rsidRPr="0084384A">
        <w:rPr>
          <w:bCs/>
          <w:color w:val="231F20"/>
        </w:rPr>
        <w:t xml:space="preserve">Изготовитель гарантирует соответствие смеси </w:t>
      </w:r>
      <w:r>
        <w:rPr>
          <w:bCs/>
          <w:color w:val="231F20"/>
        </w:rPr>
        <w:t xml:space="preserve">техническим </w:t>
      </w:r>
      <w:r w:rsidR="0084384A" w:rsidRPr="0084384A">
        <w:rPr>
          <w:bCs/>
          <w:color w:val="231F20"/>
        </w:rPr>
        <w:t>требованиям при соблюдении условий транспортирования, хранения и указаний настоящей инструкции.</w:t>
      </w:r>
    </w:p>
    <w:p w:rsidR="00064BD2" w:rsidRDefault="00064BD2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0F765F" w:rsidRDefault="000C1189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ТЕХНИЧЕСКИЕ ХАРАКТЕРИСТИКИ</w:t>
      </w:r>
    </w:p>
    <w:tbl>
      <w:tblPr>
        <w:tblStyle w:val="a3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65"/>
      </w:tblGrid>
      <w:tr w:rsidR="00494EE8" w:rsidRPr="000C1189" w:rsidTr="00B76412">
        <w:trPr>
          <w:trHeight w:val="70"/>
        </w:trPr>
        <w:tc>
          <w:tcPr>
            <w:tcW w:w="6204" w:type="dxa"/>
          </w:tcPr>
          <w:p w:rsidR="00494EE8" w:rsidRPr="000C1189" w:rsidRDefault="00B82A88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Цвет покрытия</w:t>
            </w:r>
          </w:p>
        </w:tc>
        <w:tc>
          <w:tcPr>
            <w:tcW w:w="1565" w:type="dxa"/>
          </w:tcPr>
          <w:p w:rsidR="00494EE8" w:rsidRPr="000C1189" w:rsidRDefault="00B82A88" w:rsidP="00324642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Темно серый</w:t>
            </w:r>
          </w:p>
        </w:tc>
      </w:tr>
      <w:tr w:rsidR="00B82A88" w:rsidRPr="000C1189" w:rsidTr="00B76412">
        <w:trPr>
          <w:trHeight w:val="70"/>
        </w:trPr>
        <w:tc>
          <w:tcPr>
            <w:tcW w:w="6204" w:type="dxa"/>
          </w:tcPr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Расход смеси, кг/м</w:t>
            </w:r>
            <w:r w:rsidRPr="000C1189">
              <w:rPr>
                <w:vertAlign w:val="superscript"/>
              </w:rPr>
              <w:t>2</w:t>
            </w:r>
            <w:r w:rsidRPr="000C1189">
              <w:t>/мм</w:t>
            </w:r>
          </w:p>
        </w:tc>
        <w:tc>
          <w:tcPr>
            <w:tcW w:w="1565" w:type="dxa"/>
          </w:tcPr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 w:rsidRPr="000C1189">
              <w:t>2</w:t>
            </w:r>
            <w:r w:rsidR="00A24CCF">
              <w:t>,0</w:t>
            </w:r>
          </w:p>
        </w:tc>
      </w:tr>
      <w:tr w:rsidR="00B82A88" w:rsidRPr="000C1189" w:rsidTr="00B76412">
        <w:trPr>
          <w:trHeight w:val="70"/>
        </w:trPr>
        <w:tc>
          <w:tcPr>
            <w:tcW w:w="6204" w:type="dxa"/>
          </w:tcPr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Максимальная фракция заполнителя, мм</w:t>
            </w:r>
          </w:p>
        </w:tc>
        <w:tc>
          <w:tcPr>
            <w:tcW w:w="1565" w:type="dxa"/>
          </w:tcPr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0,63</w:t>
            </w:r>
          </w:p>
        </w:tc>
      </w:tr>
      <w:tr w:rsidR="00B82A88" w:rsidRPr="000C1189" w:rsidTr="00B76412">
        <w:trPr>
          <w:trHeight w:val="568"/>
        </w:trPr>
        <w:tc>
          <w:tcPr>
            <w:tcW w:w="6204" w:type="dxa"/>
            <w:vAlign w:val="bottom"/>
          </w:tcPr>
          <w:p w:rsidR="00B82A88" w:rsidRPr="000C1189" w:rsidRDefault="00B82A88" w:rsidP="00C81696">
            <w:pPr>
              <w:tabs>
                <w:tab w:val="left" w:pos="0"/>
                <w:tab w:val="left" w:pos="142"/>
              </w:tabs>
              <w:spacing w:before="60" w:after="60"/>
              <w:ind w:left="426" w:hanging="426"/>
            </w:pPr>
            <w:r>
              <w:t xml:space="preserve">Расход жидкого компонента, </w:t>
            </w:r>
            <w:r w:rsidR="00C81696">
              <w:t>масс</w:t>
            </w:r>
            <w:r>
              <w:t>:</w:t>
            </w:r>
            <w:r>
              <w:br/>
              <w:t>на 1 кг сухой смеси</w:t>
            </w:r>
            <w:r>
              <w:br/>
              <w:t>на мешок 25 кг</w:t>
            </w:r>
          </w:p>
        </w:tc>
        <w:tc>
          <w:tcPr>
            <w:tcW w:w="1565" w:type="dxa"/>
            <w:vAlign w:val="bottom"/>
          </w:tcPr>
          <w:p w:rsidR="00B82A88" w:rsidRPr="000C1189" w:rsidRDefault="00C81696" w:rsidP="00B82A88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0,12 кг</w:t>
            </w:r>
          </w:p>
          <w:p w:rsidR="00B82A88" w:rsidRPr="000C1189" w:rsidRDefault="00C81696" w:rsidP="00B82A88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3,0 кг (2,1 л)</w:t>
            </w:r>
          </w:p>
        </w:tc>
      </w:tr>
      <w:tr w:rsidR="00B82A88" w:rsidRPr="000C1189" w:rsidTr="00B76412">
        <w:trPr>
          <w:trHeight w:val="574"/>
        </w:trPr>
        <w:tc>
          <w:tcPr>
            <w:tcW w:w="6204" w:type="dxa"/>
          </w:tcPr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Толщина нанесения, мм</w:t>
            </w:r>
          </w:p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 w:rsidRPr="000C1189">
              <w:t>минимальная</w:t>
            </w:r>
          </w:p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 w:rsidRPr="000C1189">
              <w:t>максимальная в один слой</w:t>
            </w:r>
          </w:p>
        </w:tc>
        <w:tc>
          <w:tcPr>
            <w:tcW w:w="1565" w:type="dxa"/>
          </w:tcPr>
          <w:p w:rsidR="00B82A88" w:rsidRPr="000C1189" w:rsidRDefault="00B82A88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</w:p>
          <w:p w:rsidR="00B82A88" w:rsidRPr="000C1189" w:rsidRDefault="00B82A88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>
              <w:t>2</w:t>
            </w:r>
          </w:p>
          <w:p w:rsidR="00B82A88" w:rsidRPr="000C1189" w:rsidRDefault="00B82A88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>
              <w:t>10</w:t>
            </w:r>
          </w:p>
        </w:tc>
      </w:tr>
      <w:tr w:rsidR="00B82A88" w:rsidRPr="000C1189" w:rsidTr="00B76412">
        <w:trPr>
          <w:trHeight w:val="126"/>
        </w:trPr>
        <w:tc>
          <w:tcPr>
            <w:tcW w:w="6204" w:type="dxa"/>
          </w:tcPr>
          <w:p w:rsidR="00B82A88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Время использования смеси готовой к применению</w:t>
            </w:r>
          </w:p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(при +20 °С), минут</w:t>
            </w:r>
          </w:p>
        </w:tc>
        <w:tc>
          <w:tcPr>
            <w:tcW w:w="1565" w:type="dxa"/>
            <w:vAlign w:val="bottom"/>
          </w:tcPr>
          <w:p w:rsidR="00B82A88" w:rsidRPr="000C1189" w:rsidRDefault="00B82A88" w:rsidP="00B82A88">
            <w:pPr>
              <w:tabs>
                <w:tab w:val="left" w:pos="-142"/>
                <w:tab w:val="left" w:pos="175"/>
              </w:tabs>
              <w:spacing w:before="60" w:after="60"/>
              <w:ind w:left="33"/>
              <w:jc w:val="center"/>
            </w:pPr>
            <w:r>
              <w:t>30</w:t>
            </w:r>
            <w:r w:rsidR="00C81696">
              <w:t>-45</w:t>
            </w:r>
          </w:p>
        </w:tc>
      </w:tr>
      <w:tr w:rsidR="00B82A88" w:rsidRPr="000C1189" w:rsidTr="00B76412">
        <w:trPr>
          <w:trHeight w:val="360"/>
        </w:trPr>
        <w:tc>
          <w:tcPr>
            <w:tcW w:w="6204" w:type="dxa"/>
          </w:tcPr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Прочность при сжатии, МПа, не менее</w:t>
            </w:r>
          </w:p>
          <w:p w:rsidR="00B82A88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 w:rsidRPr="000C1189">
              <w:t>1</w:t>
            </w:r>
            <w:r>
              <w:t>сут</w:t>
            </w:r>
          </w:p>
          <w:p w:rsidR="00B82A88" w:rsidRPr="000C1189" w:rsidRDefault="00C81696" w:rsidP="00B82A88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>
              <w:t>14</w:t>
            </w:r>
            <w:r w:rsidR="00B82A88" w:rsidRPr="000C1189">
              <w:t xml:space="preserve"> </w:t>
            </w:r>
            <w:proofErr w:type="spellStart"/>
            <w:r w:rsidR="00B82A88" w:rsidRPr="000C1189">
              <w:t>сут</w:t>
            </w:r>
            <w:proofErr w:type="spellEnd"/>
          </w:p>
        </w:tc>
        <w:tc>
          <w:tcPr>
            <w:tcW w:w="1565" w:type="dxa"/>
          </w:tcPr>
          <w:p w:rsidR="00B82A88" w:rsidRPr="000C1189" w:rsidRDefault="00B82A88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</w:p>
          <w:p w:rsidR="00B82A88" w:rsidRDefault="0026535B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>
              <w:t>5</w:t>
            </w:r>
            <w:r w:rsidR="00B82A88">
              <w:t>,0</w:t>
            </w:r>
          </w:p>
          <w:p w:rsidR="00B82A88" w:rsidRPr="000C1189" w:rsidRDefault="008122B1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>
              <w:t>5</w:t>
            </w:r>
            <w:r w:rsidR="00B82A88">
              <w:t>5,0</w:t>
            </w:r>
          </w:p>
        </w:tc>
      </w:tr>
      <w:tr w:rsidR="00B82A88" w:rsidRPr="000C1189" w:rsidTr="00B76412">
        <w:trPr>
          <w:trHeight w:val="452"/>
        </w:trPr>
        <w:tc>
          <w:tcPr>
            <w:tcW w:w="6204" w:type="dxa"/>
          </w:tcPr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Прочность при изгибе, МПа, не менее</w:t>
            </w:r>
          </w:p>
          <w:p w:rsidR="00B82A88" w:rsidRPr="000C1189" w:rsidRDefault="006C0943" w:rsidP="00B82A88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>
              <w:t>14</w:t>
            </w:r>
            <w:r w:rsidR="00B82A88" w:rsidRPr="000C1189">
              <w:t xml:space="preserve"> суток </w:t>
            </w:r>
          </w:p>
        </w:tc>
        <w:tc>
          <w:tcPr>
            <w:tcW w:w="1565" w:type="dxa"/>
          </w:tcPr>
          <w:p w:rsidR="00B82A88" w:rsidRPr="000C1189" w:rsidRDefault="00B82A88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</w:p>
          <w:p w:rsidR="00B82A88" w:rsidRPr="000C1189" w:rsidRDefault="00673E3D" w:rsidP="00673E3D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>
              <w:t>12</w:t>
            </w:r>
            <w:r w:rsidR="00B82A88">
              <w:t>,0</w:t>
            </w:r>
          </w:p>
        </w:tc>
      </w:tr>
      <w:tr w:rsidR="00B82A88" w:rsidRPr="000C1189" w:rsidTr="00B76412">
        <w:trPr>
          <w:trHeight w:val="265"/>
        </w:trPr>
        <w:tc>
          <w:tcPr>
            <w:tcW w:w="6204" w:type="dxa"/>
          </w:tcPr>
          <w:p w:rsidR="00B82A88" w:rsidRPr="000C1189" w:rsidRDefault="00B82A88" w:rsidP="00B82A88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 xml:space="preserve">Прочность сцепления с основанием, МПа, не менее </w:t>
            </w:r>
          </w:p>
        </w:tc>
        <w:tc>
          <w:tcPr>
            <w:tcW w:w="1565" w:type="dxa"/>
          </w:tcPr>
          <w:p w:rsidR="00B82A88" w:rsidRPr="000C1189" w:rsidRDefault="00B82A88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>
              <w:t>1</w:t>
            </w:r>
            <w:r w:rsidRPr="000C1189">
              <w:t>,5</w:t>
            </w:r>
          </w:p>
        </w:tc>
      </w:tr>
      <w:tr w:rsidR="006C0943" w:rsidRPr="000C1189" w:rsidTr="00B76412">
        <w:trPr>
          <w:trHeight w:val="265"/>
        </w:trPr>
        <w:tc>
          <w:tcPr>
            <w:tcW w:w="6204" w:type="dxa"/>
          </w:tcPr>
          <w:p w:rsidR="006C0943" w:rsidRPr="000C1189" w:rsidRDefault="006C0943" w:rsidP="006C0943">
            <w:pPr>
              <w:tabs>
                <w:tab w:val="left" w:pos="-142"/>
                <w:tab w:val="left" w:pos="142"/>
              </w:tabs>
              <w:spacing w:before="60" w:after="60"/>
            </w:pPr>
            <w:r w:rsidRPr="006C0943">
              <w:t>Температура в процессе эксплуатации, °С</w:t>
            </w:r>
            <w:r w:rsidRPr="006C0943">
              <w:tab/>
            </w:r>
          </w:p>
        </w:tc>
        <w:tc>
          <w:tcPr>
            <w:tcW w:w="1565" w:type="dxa"/>
          </w:tcPr>
          <w:p w:rsidR="006C0943" w:rsidRDefault="006C0943" w:rsidP="00B82A88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 w:rsidRPr="006C0943">
              <w:t>от -50 до +80</w:t>
            </w:r>
          </w:p>
        </w:tc>
      </w:tr>
      <w:tr w:rsidR="00064BD2" w:rsidRPr="000C1189" w:rsidTr="00EB66C1">
        <w:trPr>
          <w:trHeight w:val="265"/>
        </w:trPr>
        <w:tc>
          <w:tcPr>
            <w:tcW w:w="7769" w:type="dxa"/>
            <w:gridSpan w:val="2"/>
          </w:tcPr>
          <w:p w:rsidR="00064BD2" w:rsidRDefault="00064BD2" w:rsidP="00064BD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Стойкость к агрессивным веществам:</w:t>
            </w:r>
          </w:p>
          <w:p w:rsidR="00064BD2" w:rsidRDefault="00064BD2" w:rsidP="00064BD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10% Серная – да</w:t>
            </w:r>
          </w:p>
          <w:p w:rsidR="00064BD2" w:rsidRDefault="00064BD2" w:rsidP="00064BD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10% Соляная - да</w:t>
            </w:r>
          </w:p>
          <w:p w:rsidR="00064BD2" w:rsidRDefault="00064BD2" w:rsidP="00064BD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10% Азотная - да</w:t>
            </w:r>
          </w:p>
          <w:p w:rsidR="00064BD2" w:rsidRDefault="00064BD2" w:rsidP="00064BD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10% Фосфорная - да</w:t>
            </w:r>
          </w:p>
          <w:p w:rsidR="00064BD2" w:rsidRDefault="00064BD2" w:rsidP="00064BD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10% Молочная - да</w:t>
            </w:r>
          </w:p>
          <w:p w:rsidR="00064BD2" w:rsidRDefault="00064BD2" w:rsidP="00064BD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Кремнефтористая к-та - нет</w:t>
            </w:r>
          </w:p>
          <w:p w:rsidR="00064BD2" w:rsidRPr="006C0943" w:rsidRDefault="00064BD2" w:rsidP="00064BD2">
            <w:pPr>
              <w:tabs>
                <w:tab w:val="left" w:pos="175"/>
              </w:tabs>
              <w:spacing w:before="60" w:after="60"/>
              <w:ind w:left="33"/>
            </w:pPr>
            <w:r>
              <w:t>Раствор щелочи - нет</w:t>
            </w:r>
          </w:p>
        </w:tc>
      </w:tr>
    </w:tbl>
    <w:p w:rsidR="00564A8C" w:rsidRDefault="00564A8C" w:rsidP="00324642">
      <w:pPr>
        <w:shd w:val="clear" w:color="auto" w:fill="FFFFFF"/>
        <w:tabs>
          <w:tab w:val="left" w:pos="-142"/>
          <w:tab w:val="left" w:pos="142"/>
        </w:tabs>
        <w:ind w:firstLine="340"/>
      </w:pPr>
    </w:p>
    <w:sectPr w:rsidR="00564A8C" w:rsidSect="00A23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8"/>
      <w:pgMar w:top="782" w:right="847" w:bottom="686" w:left="156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22" w:rsidRDefault="000E6322" w:rsidP="00A23A6D">
      <w:r>
        <w:separator/>
      </w:r>
    </w:p>
  </w:endnote>
  <w:endnote w:type="continuationSeparator" w:id="0">
    <w:p w:rsidR="000E6322" w:rsidRDefault="000E6322" w:rsidP="00A2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5B" w:rsidRDefault="000E29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04" w:rsidRDefault="003A2E04" w:rsidP="003A2E04">
    <w:pPr>
      <w:pStyle w:val="a9"/>
    </w:pPr>
    <w:r>
      <w:rPr>
        <w:noProof/>
      </w:rPr>
      <w:drawing>
        <wp:inline distT="0" distB="0" distL="0" distR="0" wp14:anchorId="2B44A94E" wp14:editId="041FEA89">
          <wp:extent cx="5657850" cy="419100"/>
          <wp:effectExtent l="0" t="0" r="0" b="0"/>
          <wp:docPr id="6" name="Рисунок 6" descr="C:\Users\user\Desktop\описание материалов\нижняя 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описание материалов\нижняя полос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04" w:rsidRDefault="003A2E04" w:rsidP="003A2E04">
    <w:pPr>
      <w:pStyle w:val="a9"/>
      <w:jc w:val="center"/>
      <w:rPr>
        <w:sz w:val="16"/>
      </w:rPr>
    </w:pPr>
    <w:r w:rsidRPr="001537CB">
      <w:rPr>
        <w:sz w:val="16"/>
      </w:rPr>
      <w:t>ООО «РМ»</w:t>
    </w:r>
  </w:p>
  <w:p w:rsidR="00A23A6D" w:rsidRDefault="002B4F0F" w:rsidP="002B4F0F">
    <w:pPr>
      <w:pStyle w:val="a9"/>
      <w:jc w:val="center"/>
      <w:rPr>
        <w:sz w:val="16"/>
      </w:rPr>
    </w:pPr>
    <w:r w:rsidRPr="003C5033">
      <w:rPr>
        <w:sz w:val="16"/>
      </w:rPr>
      <w:t>195279, г. Санкт-Петербург, Индустриаль</w:t>
    </w:r>
    <w:r w:rsidR="000E295B">
      <w:rPr>
        <w:sz w:val="16"/>
      </w:rPr>
      <w:t>ный пр., д. 45, лит. А, офис 207</w:t>
    </w:r>
    <w:r w:rsidRPr="001537CB">
      <w:rPr>
        <w:sz w:val="16"/>
      </w:rPr>
      <w:t>;</w:t>
    </w:r>
    <w:r>
      <w:rPr>
        <w:sz w:val="16"/>
      </w:rPr>
      <w:t xml:space="preserve"> тел.: 8-800-222</w:t>
    </w:r>
    <w:r w:rsidRPr="001537CB">
      <w:rPr>
        <w:sz w:val="16"/>
      </w:rPr>
      <w:t>2</w:t>
    </w:r>
    <w:r>
      <w:rPr>
        <w:sz w:val="16"/>
      </w:rPr>
      <w:t xml:space="preserve"> </w:t>
    </w:r>
    <w:r w:rsidRPr="001537CB">
      <w:rPr>
        <w:sz w:val="16"/>
      </w:rPr>
      <w:t>080</w:t>
    </w:r>
  </w:p>
  <w:p w:rsidR="002B4F0F" w:rsidRDefault="002B4F0F" w:rsidP="002B4F0F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5B" w:rsidRDefault="000E29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22" w:rsidRDefault="000E6322" w:rsidP="00A23A6D">
      <w:r>
        <w:separator/>
      </w:r>
    </w:p>
  </w:footnote>
  <w:footnote w:type="continuationSeparator" w:id="0">
    <w:p w:rsidR="000E6322" w:rsidRDefault="000E6322" w:rsidP="00A2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5B" w:rsidRDefault="000E29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6D" w:rsidRDefault="003A2E04" w:rsidP="003A2E04">
    <w:pPr>
      <w:pStyle w:val="a7"/>
      <w:jc w:val="right"/>
    </w:pPr>
    <w:r>
      <w:rPr>
        <w:noProof/>
      </w:rPr>
      <w:drawing>
        <wp:inline distT="0" distB="0" distL="0" distR="0" wp14:anchorId="0C7C4CF2" wp14:editId="17A09198">
          <wp:extent cx="1266825" cy="1062125"/>
          <wp:effectExtent l="0" t="0" r="0" b="0"/>
          <wp:docPr id="1" name="Рисунок 1" descr="C:\Users\user\Desktop\описание материалов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описание материалов\Снимо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5B" w:rsidRDefault="000E29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389164"/>
    <w:lvl w:ilvl="0">
      <w:numFmt w:val="bullet"/>
      <w:lvlText w:val="*"/>
      <w:lvlJc w:val="left"/>
    </w:lvl>
  </w:abstractNum>
  <w:abstractNum w:abstractNumId="1">
    <w:nsid w:val="044F6E7F"/>
    <w:multiLevelType w:val="hybridMultilevel"/>
    <w:tmpl w:val="9C60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4338"/>
    <w:multiLevelType w:val="hybridMultilevel"/>
    <w:tmpl w:val="EC2C0D8E"/>
    <w:lvl w:ilvl="0" w:tplc="F3942D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D0C30"/>
    <w:multiLevelType w:val="hybridMultilevel"/>
    <w:tmpl w:val="62DA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1EB1"/>
    <w:multiLevelType w:val="hybridMultilevel"/>
    <w:tmpl w:val="62AC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E5013B"/>
    <w:multiLevelType w:val="hybridMultilevel"/>
    <w:tmpl w:val="CA4E8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55BA4"/>
    <w:multiLevelType w:val="multilevel"/>
    <w:tmpl w:val="DDA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5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67"/>
    <w:rsid w:val="00003150"/>
    <w:rsid w:val="00005E9C"/>
    <w:rsid w:val="00012C3A"/>
    <w:rsid w:val="0002209A"/>
    <w:rsid w:val="00035C28"/>
    <w:rsid w:val="00056623"/>
    <w:rsid w:val="0006247C"/>
    <w:rsid w:val="00064BD2"/>
    <w:rsid w:val="00072D01"/>
    <w:rsid w:val="000740CF"/>
    <w:rsid w:val="000768F8"/>
    <w:rsid w:val="00081811"/>
    <w:rsid w:val="000B1B90"/>
    <w:rsid w:val="000C1189"/>
    <w:rsid w:val="000C24D8"/>
    <w:rsid w:val="000D3A75"/>
    <w:rsid w:val="000E295B"/>
    <w:rsid w:val="000E526A"/>
    <w:rsid w:val="000E6322"/>
    <w:rsid w:val="000F765F"/>
    <w:rsid w:val="00100E1E"/>
    <w:rsid w:val="001039D7"/>
    <w:rsid w:val="00110BB6"/>
    <w:rsid w:val="001133AF"/>
    <w:rsid w:val="00117DFE"/>
    <w:rsid w:val="00126D38"/>
    <w:rsid w:val="001346F8"/>
    <w:rsid w:val="0014024F"/>
    <w:rsid w:val="00142B28"/>
    <w:rsid w:val="0014380E"/>
    <w:rsid w:val="00160A63"/>
    <w:rsid w:val="00161C56"/>
    <w:rsid w:val="00162164"/>
    <w:rsid w:val="0016480D"/>
    <w:rsid w:val="001748FC"/>
    <w:rsid w:val="0017606E"/>
    <w:rsid w:val="001834DB"/>
    <w:rsid w:val="00185696"/>
    <w:rsid w:val="00191200"/>
    <w:rsid w:val="00191BDD"/>
    <w:rsid w:val="001A7B25"/>
    <w:rsid w:val="001B66CE"/>
    <w:rsid w:val="001B72CD"/>
    <w:rsid w:val="001C5E49"/>
    <w:rsid w:val="001C79D3"/>
    <w:rsid w:val="001E7B5B"/>
    <w:rsid w:val="001F44AC"/>
    <w:rsid w:val="001F4EF8"/>
    <w:rsid w:val="001F6213"/>
    <w:rsid w:val="002060C1"/>
    <w:rsid w:val="0021519E"/>
    <w:rsid w:val="00232391"/>
    <w:rsid w:val="00253025"/>
    <w:rsid w:val="0026535B"/>
    <w:rsid w:val="002738FE"/>
    <w:rsid w:val="00290883"/>
    <w:rsid w:val="00291036"/>
    <w:rsid w:val="00292CEF"/>
    <w:rsid w:val="002A471B"/>
    <w:rsid w:val="002B420B"/>
    <w:rsid w:val="002B4F0F"/>
    <w:rsid w:val="002C29DB"/>
    <w:rsid w:val="002C3326"/>
    <w:rsid w:val="002E0550"/>
    <w:rsid w:val="002E589A"/>
    <w:rsid w:val="002F3182"/>
    <w:rsid w:val="00324642"/>
    <w:rsid w:val="00326899"/>
    <w:rsid w:val="00353664"/>
    <w:rsid w:val="00370C44"/>
    <w:rsid w:val="00381162"/>
    <w:rsid w:val="00382BBE"/>
    <w:rsid w:val="00383B7F"/>
    <w:rsid w:val="00396568"/>
    <w:rsid w:val="003A2E04"/>
    <w:rsid w:val="003B3602"/>
    <w:rsid w:val="003D348B"/>
    <w:rsid w:val="00407855"/>
    <w:rsid w:val="00424821"/>
    <w:rsid w:val="00425D18"/>
    <w:rsid w:val="00434F21"/>
    <w:rsid w:val="00454947"/>
    <w:rsid w:val="00462B44"/>
    <w:rsid w:val="0047681D"/>
    <w:rsid w:val="004829DC"/>
    <w:rsid w:val="004839BF"/>
    <w:rsid w:val="004850CD"/>
    <w:rsid w:val="00494EE8"/>
    <w:rsid w:val="004A2E08"/>
    <w:rsid w:val="004A744D"/>
    <w:rsid w:val="004B15BC"/>
    <w:rsid w:val="004C27FD"/>
    <w:rsid w:val="004C52AB"/>
    <w:rsid w:val="004F07AF"/>
    <w:rsid w:val="005024B4"/>
    <w:rsid w:val="00514259"/>
    <w:rsid w:val="005326A3"/>
    <w:rsid w:val="00532979"/>
    <w:rsid w:val="005349EE"/>
    <w:rsid w:val="00564A8C"/>
    <w:rsid w:val="00566CB3"/>
    <w:rsid w:val="00581527"/>
    <w:rsid w:val="00584C49"/>
    <w:rsid w:val="005912F6"/>
    <w:rsid w:val="005A374C"/>
    <w:rsid w:val="005A4D6B"/>
    <w:rsid w:val="005B298B"/>
    <w:rsid w:val="005B3D4D"/>
    <w:rsid w:val="005E364F"/>
    <w:rsid w:val="0062098F"/>
    <w:rsid w:val="006263EF"/>
    <w:rsid w:val="00627381"/>
    <w:rsid w:val="00640D5F"/>
    <w:rsid w:val="00644687"/>
    <w:rsid w:val="00673E3D"/>
    <w:rsid w:val="00674ECA"/>
    <w:rsid w:val="00685E32"/>
    <w:rsid w:val="006940DC"/>
    <w:rsid w:val="006978D3"/>
    <w:rsid w:val="006B0CC3"/>
    <w:rsid w:val="006C0943"/>
    <w:rsid w:val="006D2E3B"/>
    <w:rsid w:val="006E109B"/>
    <w:rsid w:val="007030CC"/>
    <w:rsid w:val="0070598B"/>
    <w:rsid w:val="00711DE6"/>
    <w:rsid w:val="007307C4"/>
    <w:rsid w:val="007319E9"/>
    <w:rsid w:val="00747F26"/>
    <w:rsid w:val="00757346"/>
    <w:rsid w:val="0076479E"/>
    <w:rsid w:val="00771910"/>
    <w:rsid w:val="007A0473"/>
    <w:rsid w:val="007A200F"/>
    <w:rsid w:val="007A2B9C"/>
    <w:rsid w:val="007A4090"/>
    <w:rsid w:val="007A48AA"/>
    <w:rsid w:val="007B343B"/>
    <w:rsid w:val="007C39D7"/>
    <w:rsid w:val="007D48E3"/>
    <w:rsid w:val="007E4847"/>
    <w:rsid w:val="00800063"/>
    <w:rsid w:val="00802028"/>
    <w:rsid w:val="008102B4"/>
    <w:rsid w:val="008122B1"/>
    <w:rsid w:val="00841A58"/>
    <w:rsid w:val="0084384A"/>
    <w:rsid w:val="0086587B"/>
    <w:rsid w:val="00875B40"/>
    <w:rsid w:val="008777D7"/>
    <w:rsid w:val="008866D0"/>
    <w:rsid w:val="008A4FDA"/>
    <w:rsid w:val="008A660E"/>
    <w:rsid w:val="008C23DF"/>
    <w:rsid w:val="008C3B4A"/>
    <w:rsid w:val="008D3E99"/>
    <w:rsid w:val="008E4387"/>
    <w:rsid w:val="008E6220"/>
    <w:rsid w:val="00904FAA"/>
    <w:rsid w:val="00912934"/>
    <w:rsid w:val="0092167F"/>
    <w:rsid w:val="009405FC"/>
    <w:rsid w:val="00965DD2"/>
    <w:rsid w:val="009679AE"/>
    <w:rsid w:val="00975775"/>
    <w:rsid w:val="0098391E"/>
    <w:rsid w:val="009A2FAB"/>
    <w:rsid w:val="009B5C67"/>
    <w:rsid w:val="009E78A2"/>
    <w:rsid w:val="009F3DFD"/>
    <w:rsid w:val="00A16002"/>
    <w:rsid w:val="00A17A48"/>
    <w:rsid w:val="00A23A6D"/>
    <w:rsid w:val="00A24CCF"/>
    <w:rsid w:val="00A40CE5"/>
    <w:rsid w:val="00A5316E"/>
    <w:rsid w:val="00A618E3"/>
    <w:rsid w:val="00A62DA8"/>
    <w:rsid w:val="00A750D8"/>
    <w:rsid w:val="00A767D4"/>
    <w:rsid w:val="00A93A20"/>
    <w:rsid w:val="00A9742E"/>
    <w:rsid w:val="00AA756B"/>
    <w:rsid w:val="00AB7A4D"/>
    <w:rsid w:val="00AC0DD7"/>
    <w:rsid w:val="00AE0E06"/>
    <w:rsid w:val="00AE145C"/>
    <w:rsid w:val="00B1194D"/>
    <w:rsid w:val="00B127E3"/>
    <w:rsid w:val="00B2118B"/>
    <w:rsid w:val="00B33164"/>
    <w:rsid w:val="00B3339B"/>
    <w:rsid w:val="00B34B7E"/>
    <w:rsid w:val="00B37415"/>
    <w:rsid w:val="00B43091"/>
    <w:rsid w:val="00B43F75"/>
    <w:rsid w:val="00B4406A"/>
    <w:rsid w:val="00B452A3"/>
    <w:rsid w:val="00B46024"/>
    <w:rsid w:val="00B6276D"/>
    <w:rsid w:val="00B76412"/>
    <w:rsid w:val="00B82A88"/>
    <w:rsid w:val="00B85FE7"/>
    <w:rsid w:val="00B86D34"/>
    <w:rsid w:val="00BA1A8D"/>
    <w:rsid w:val="00BB21B4"/>
    <w:rsid w:val="00BC641D"/>
    <w:rsid w:val="00BD606F"/>
    <w:rsid w:val="00C0334B"/>
    <w:rsid w:val="00C040C6"/>
    <w:rsid w:val="00C15F83"/>
    <w:rsid w:val="00C16B10"/>
    <w:rsid w:val="00C234DD"/>
    <w:rsid w:val="00C27CE0"/>
    <w:rsid w:val="00C66E4E"/>
    <w:rsid w:val="00C72051"/>
    <w:rsid w:val="00C778B1"/>
    <w:rsid w:val="00C81696"/>
    <w:rsid w:val="00C8464C"/>
    <w:rsid w:val="00C87394"/>
    <w:rsid w:val="00C92140"/>
    <w:rsid w:val="00C928D5"/>
    <w:rsid w:val="00C93CA2"/>
    <w:rsid w:val="00C95663"/>
    <w:rsid w:val="00CB1244"/>
    <w:rsid w:val="00CB1840"/>
    <w:rsid w:val="00CC0EB6"/>
    <w:rsid w:val="00CE21E9"/>
    <w:rsid w:val="00CE2ED1"/>
    <w:rsid w:val="00CE2F67"/>
    <w:rsid w:val="00CE5CEF"/>
    <w:rsid w:val="00CF3011"/>
    <w:rsid w:val="00CF7D3E"/>
    <w:rsid w:val="00D02917"/>
    <w:rsid w:val="00D02EFF"/>
    <w:rsid w:val="00D0374B"/>
    <w:rsid w:val="00D1084A"/>
    <w:rsid w:val="00D22BE9"/>
    <w:rsid w:val="00D339D8"/>
    <w:rsid w:val="00D3675B"/>
    <w:rsid w:val="00D777DC"/>
    <w:rsid w:val="00D80814"/>
    <w:rsid w:val="00DC7B14"/>
    <w:rsid w:val="00E01E44"/>
    <w:rsid w:val="00E10F6B"/>
    <w:rsid w:val="00E144D2"/>
    <w:rsid w:val="00E166C1"/>
    <w:rsid w:val="00E30371"/>
    <w:rsid w:val="00E41F00"/>
    <w:rsid w:val="00E7092F"/>
    <w:rsid w:val="00E94434"/>
    <w:rsid w:val="00E94FDE"/>
    <w:rsid w:val="00EC0D58"/>
    <w:rsid w:val="00EC294F"/>
    <w:rsid w:val="00EC2BC1"/>
    <w:rsid w:val="00ED1DFB"/>
    <w:rsid w:val="00ED64E4"/>
    <w:rsid w:val="00EE3860"/>
    <w:rsid w:val="00EF5CB5"/>
    <w:rsid w:val="00F05603"/>
    <w:rsid w:val="00F42588"/>
    <w:rsid w:val="00F5482A"/>
    <w:rsid w:val="00F64583"/>
    <w:rsid w:val="00FA1EDF"/>
    <w:rsid w:val="00FA2703"/>
    <w:rsid w:val="00FC69F1"/>
    <w:rsid w:val="00FD4059"/>
    <w:rsid w:val="00FD547E"/>
    <w:rsid w:val="00FD6AC5"/>
    <w:rsid w:val="00FE68F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6E312B-2D7D-4581-91A1-C7619D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3DFD"/>
    <w:pPr>
      <w:keepNext/>
      <w:widowControl/>
      <w:shd w:val="clear" w:color="auto" w:fill="FFFFFF"/>
      <w:autoSpaceDE/>
      <w:autoSpaceDN/>
      <w:adjustRightInd/>
      <w:ind w:right="-5"/>
      <w:outlineLvl w:val="0"/>
    </w:pPr>
    <w:rPr>
      <w:rFonts w:ascii="Times New Roman" w:hAnsi="Times New Roman" w:cs="Times New Roman"/>
      <w:b/>
      <w:bCs/>
      <w:sz w:val="22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DFD"/>
    <w:rPr>
      <w:rFonts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1C5E49"/>
    <w:rPr>
      <w:rFonts w:cs="Times New Roman"/>
    </w:rPr>
  </w:style>
  <w:style w:type="table" w:styleId="a3">
    <w:name w:val="Table Grid"/>
    <w:basedOn w:val="a1"/>
    <w:uiPriority w:val="99"/>
    <w:rsid w:val="006B0C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1C5E4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5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B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A6D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A6D"/>
    <w:rPr>
      <w:rFonts w:ascii="Arial" w:hAnsi="Arial" w:cs="Arial"/>
      <w:sz w:val="20"/>
      <w:szCs w:val="20"/>
    </w:rPr>
  </w:style>
  <w:style w:type="table" w:styleId="1-5">
    <w:name w:val="Medium Shading 1 Accent 5"/>
    <w:basedOn w:val="a1"/>
    <w:uiPriority w:val="63"/>
    <w:rsid w:val="000C118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7A4B-E2F3-4AC4-BB42-E46E64F9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Estrifan Additiv KD 961</vt:lpstr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Estrifan Additiv KD 961</dc:title>
  <dc:subject/>
  <dc:creator>MC</dc:creator>
  <cp:keywords/>
  <dc:description/>
  <cp:lastModifiedBy>jaroslav aleksandrov</cp:lastModifiedBy>
  <cp:revision>3</cp:revision>
  <cp:lastPrinted>2014-09-24T06:07:00Z</cp:lastPrinted>
  <dcterms:created xsi:type="dcterms:W3CDTF">2014-09-25T05:20:00Z</dcterms:created>
  <dcterms:modified xsi:type="dcterms:W3CDTF">2015-04-06T14:45:00Z</dcterms:modified>
</cp:coreProperties>
</file>